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C" w:rsidRPr="008241CC" w:rsidRDefault="008241CC" w:rsidP="008241CC">
      <w:pPr>
        <w:pStyle w:val="a8"/>
        <w:jc w:val="center"/>
        <w:rPr>
          <w:b/>
          <w:sz w:val="24"/>
          <w:szCs w:val="24"/>
        </w:rPr>
      </w:pPr>
      <w:r w:rsidRPr="008241CC">
        <w:rPr>
          <w:b/>
          <w:sz w:val="24"/>
          <w:szCs w:val="24"/>
        </w:rPr>
        <w:t>Информация для пользователей услугами связи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</w:p>
    <w:p w:rsidR="008241CC" w:rsidRPr="008241CC" w:rsidRDefault="008241CC" w:rsidP="008241CC">
      <w:pPr>
        <w:pStyle w:val="a8"/>
        <w:rPr>
          <w:b/>
          <w:sz w:val="24"/>
          <w:szCs w:val="24"/>
        </w:rPr>
      </w:pPr>
      <w:r w:rsidRPr="008241CC">
        <w:rPr>
          <w:b/>
          <w:sz w:val="24"/>
          <w:szCs w:val="24"/>
        </w:rPr>
        <w:t>Претензионный порядок и судебная защита прав пользователя услугами связи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На террит</w:t>
      </w:r>
      <w:bookmarkStart w:id="0" w:name="_GoBack"/>
      <w:bookmarkEnd w:id="0"/>
      <w:r w:rsidRPr="008241CC">
        <w:rPr>
          <w:sz w:val="24"/>
          <w:szCs w:val="24"/>
        </w:rPr>
        <w:t>ории Российской Федерации услуги связи оказываются операторами связи на основании договоров об оказании услуг связи.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При несоблюдении условия заключенного оператором связи с пользователем услугами связи договора и нарушением права пользователя услуг связи необходимо обратиться в суд, так как в соответствии со ст. 11 Гражданского Кодекса РФ защиту нарушенных или оспоренных гражданских прав осуществляет суд.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Однако в соответствии с требованиями ст. 55 Федерального закона от 07.07.2003 № 126-ФЗ «О связи» пользователь услуг связи обязан соблюсти досудебный порядок урегулирования спора и предварительно предъявить оператору связи претензию.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proofErr w:type="gramStart"/>
      <w:r w:rsidRPr="008241CC">
        <w:rPr>
          <w:sz w:val="24"/>
          <w:szCs w:val="24"/>
        </w:rPr>
        <w:t>К претензии прилагаются копия договора об оказании услуг связи или иного удостоверяющего факт заключения договора документа (квитанция, опись вложения и тому подобные) и иные документы,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связи.</w:t>
      </w:r>
      <w:proofErr w:type="gramEnd"/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Отдельно обращаем внимание, что претензию (с прилагаемыми документами) следует направлять способом, позволяющим однозначно определить факт получения и регистрации данной претензии (с отметкой о вручении) оператором связи (заказным письмом, нарочным способом и т.д.).</w:t>
      </w:r>
    </w:p>
    <w:p w:rsidR="008241CC" w:rsidRDefault="008241CC" w:rsidP="008241CC">
      <w:pPr>
        <w:pStyle w:val="a8"/>
        <w:rPr>
          <w:b/>
          <w:sz w:val="24"/>
          <w:szCs w:val="24"/>
        </w:rPr>
      </w:pPr>
    </w:p>
    <w:p w:rsidR="008241CC" w:rsidRPr="008241CC" w:rsidRDefault="008241CC" w:rsidP="008241CC">
      <w:pPr>
        <w:pStyle w:val="a8"/>
        <w:rPr>
          <w:b/>
          <w:sz w:val="24"/>
          <w:szCs w:val="24"/>
        </w:rPr>
      </w:pPr>
      <w:r w:rsidRPr="008241CC">
        <w:rPr>
          <w:b/>
          <w:sz w:val="24"/>
          <w:szCs w:val="24"/>
        </w:rPr>
        <w:t>Критерии качества услуг связи (низкий уровень сигнала сотовой связи, перебои и низкая скорость доступа в сеть «Интернет» и т.д.)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В настоящее время действующими в Российской Федерации нормативными правовыми актами в области связи показатели качества услуг связи и нормы на эти показатели не установлены.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В связи с этим квалифицировать уровень качества услуг связи как нарушение обязательных требований в области связи не представляется возможным.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В связи с этим вопрос несоответствия качества предоставляемых услуг связи следует рассматривать как нарушение условий действующего договора, только если критерии качества оказываемых услуг связи установлены и прописаны в условиях (приложениях) данного договора.</w:t>
      </w:r>
    </w:p>
    <w:p w:rsidR="008241CC" w:rsidRPr="008241CC" w:rsidRDefault="008241CC" w:rsidP="008241CC">
      <w:pPr>
        <w:pStyle w:val="a8"/>
        <w:rPr>
          <w:sz w:val="24"/>
          <w:szCs w:val="24"/>
        </w:rPr>
        <w:sectPr w:rsidR="008241CC" w:rsidRPr="008241CC" w:rsidSect="008241CC">
          <w:type w:val="continuous"/>
          <w:pgSz w:w="11910" w:h="16840"/>
          <w:pgMar w:top="1040" w:right="540" w:bottom="280" w:left="1440" w:header="720" w:footer="720" w:gutter="0"/>
          <w:cols w:space="720"/>
        </w:sectPr>
      </w:pPr>
      <w:r w:rsidRPr="008241CC">
        <w:rPr>
          <w:sz w:val="24"/>
          <w:szCs w:val="24"/>
        </w:rPr>
        <w:t>Создание</w:t>
      </w:r>
      <w:r w:rsidRPr="008241CC">
        <w:rPr>
          <w:sz w:val="24"/>
          <w:szCs w:val="24"/>
        </w:rPr>
        <w:tab/>
        <w:t>отдельного</w:t>
      </w:r>
      <w:r w:rsidRPr="008241CC">
        <w:rPr>
          <w:sz w:val="24"/>
          <w:szCs w:val="24"/>
        </w:rPr>
        <w:tab/>
        <w:t>лицевого</w:t>
      </w:r>
      <w:r w:rsidRPr="008241CC">
        <w:rPr>
          <w:sz w:val="24"/>
          <w:szCs w:val="24"/>
        </w:rPr>
        <w:tab/>
        <w:t>счета</w:t>
      </w:r>
      <w:r w:rsidRPr="008241CC">
        <w:rPr>
          <w:sz w:val="24"/>
          <w:szCs w:val="24"/>
        </w:rPr>
        <w:tab/>
        <w:t>(контент-счета)</w:t>
      </w:r>
      <w:r w:rsidRPr="008241CC">
        <w:rPr>
          <w:sz w:val="24"/>
          <w:szCs w:val="24"/>
        </w:rPr>
        <w:tab/>
        <w:t>для абонентов мобильной (сотовой) связи</w:t>
      </w:r>
      <w:r>
        <w:rPr>
          <w:sz w:val="24"/>
          <w:szCs w:val="24"/>
        </w:rPr>
        <w:t>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proofErr w:type="gramStart"/>
      <w:r w:rsidRPr="008241CC">
        <w:rPr>
          <w:sz w:val="24"/>
          <w:szCs w:val="24"/>
        </w:rPr>
        <w:lastRenderedPageBreak/>
        <w:t>С целью обезопасить себя от списания денежных средств в случае подключения контентных услуг абоненту в соответствии с ч. 5 ст. 44 Федерального закона от 07.07.2003 № 126-ФЗ «О связи» необходимо обратится к оператору связи с заявлением (письменным) о создании отдельного лицевого счета (так называемого контент-счета), предназначенного только для оплаты дополнительных контентных услуг связи в пределах средств, находящихся на указанном лицевом счете.</w:t>
      </w:r>
      <w:proofErr w:type="gramEnd"/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Таким образом, в случае открытия такого счета при его нулевом балансе провайдеры (партнеры оператора связи) не смогут оказывать дополнительные платные услуги связи и тем самым списывать денежные средства с абонентского счета, предназначенного для оплаты услуг связи.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</w:p>
    <w:p w:rsidR="008241CC" w:rsidRPr="008241CC" w:rsidRDefault="008241CC" w:rsidP="008241CC">
      <w:pPr>
        <w:pStyle w:val="a8"/>
        <w:rPr>
          <w:b/>
          <w:sz w:val="24"/>
          <w:szCs w:val="24"/>
        </w:rPr>
      </w:pPr>
      <w:r w:rsidRPr="008241CC">
        <w:rPr>
          <w:b/>
          <w:sz w:val="24"/>
          <w:szCs w:val="24"/>
        </w:rPr>
        <w:t>Установка усилителей сигналов сотовой связи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Действующим законодательством в сфере связи разрешена установка усилителей сигнала (</w:t>
      </w:r>
      <w:r w:rsidRPr="008241CC">
        <w:rPr>
          <w:i/>
          <w:sz w:val="24"/>
          <w:szCs w:val="24"/>
        </w:rPr>
        <w:t>репитеры/ ретрансляторы</w:t>
      </w:r>
      <w:r w:rsidRPr="008241CC">
        <w:rPr>
          <w:sz w:val="24"/>
          <w:szCs w:val="24"/>
        </w:rPr>
        <w:t xml:space="preserve">) только операторами подвижной радиотелефонной связи с последующей их регистрацией в территориальном органе </w:t>
      </w:r>
      <w:proofErr w:type="spellStart"/>
      <w:r w:rsidRPr="008241CC">
        <w:rPr>
          <w:sz w:val="24"/>
          <w:szCs w:val="24"/>
        </w:rPr>
        <w:t>Роскомнадзора</w:t>
      </w:r>
      <w:proofErr w:type="spellEnd"/>
      <w:r w:rsidRPr="008241CC">
        <w:rPr>
          <w:sz w:val="24"/>
          <w:szCs w:val="24"/>
        </w:rPr>
        <w:t>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Самостоятельная установка усилителей сигнала (репитеров/ ретрансляторов) подвижной радиотелефонной (сотовой) связи гражданами законодательством не предусмотрена.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  <w:r w:rsidRPr="008241CC">
        <w:rPr>
          <w:sz w:val="24"/>
          <w:szCs w:val="24"/>
        </w:rPr>
        <w:t>За самовольную установку усилителей сигнала подвижной радиотелефонной (сотовой) связи предусмотрена административная ответственность.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</w:p>
    <w:p w:rsidR="008241CC" w:rsidRPr="008241CC" w:rsidRDefault="008241CC" w:rsidP="008241CC">
      <w:pPr>
        <w:pStyle w:val="a8"/>
        <w:rPr>
          <w:b/>
          <w:sz w:val="24"/>
          <w:szCs w:val="24"/>
        </w:rPr>
      </w:pPr>
      <w:r w:rsidRPr="008241CC">
        <w:rPr>
          <w:b/>
          <w:sz w:val="24"/>
          <w:szCs w:val="24"/>
        </w:rPr>
        <w:t>Советы по информационной безопасности и «цифровой гигиене» в сети Интернет: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>Перед публикацией любой информации, например, публикацией фотографии или осуществлением любого действия, например, комментированием какого-либо поста в сети «Интернет» необходимо подумать о возможных последствиях и защите себя и близких сейчас и в будущем. Информацию, лишь однажды размещенную в сети Интернет, удалить практически невозможно.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>Устанавливать в настройках профиля ограничения на просмотр личной страницы и её содержимого.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>Нельзя размещать и указывать информацию, которая может кого-либо оскорбить, обидеть или унизить.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>Всегда следите за обновлениями вашей операционной системы и браузера (или позвольте им обновляться автоматически).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>Используйте последнюю версию антивирусной программы и не забывайте регулярно обновлять вирусные базы.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>Внимательно следите за тем, какие веб-сайты вы открываете (не все ссылки безопасны) и что загружаете. Это относится к музыке, фильмам, файлам, плагинам и дополнениям для браузера и т. д.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>Устанавливайте программное обеспечение только из надежных источников</w:t>
      </w:r>
    </w:p>
    <w:p w:rsidR="008241CC" w:rsidRPr="008241CC" w:rsidRDefault="008241CC" w:rsidP="008241CC">
      <w:pPr>
        <w:pStyle w:val="a8"/>
        <w:rPr>
          <w:sz w:val="24"/>
          <w:szCs w:val="24"/>
        </w:rPr>
        <w:sectPr w:rsidR="008241CC" w:rsidRPr="008241CC">
          <w:pgSz w:w="11910" w:h="16840"/>
          <w:pgMar w:top="1040" w:right="540" w:bottom="280" w:left="1440" w:header="720" w:footer="720" w:gutter="0"/>
          <w:cols w:space="720"/>
        </w:sectPr>
      </w:pP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lastRenderedPageBreak/>
        <w:t>Не открывайте подозрительные вложения к сообщениям электронной почты и сами сообщения.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>Используйте надежные пароли и храните их надежным способом.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 xml:space="preserve">При совершении </w:t>
      </w:r>
      <w:proofErr w:type="gramStart"/>
      <w:r w:rsidRPr="008241CC">
        <w:rPr>
          <w:sz w:val="24"/>
          <w:szCs w:val="24"/>
        </w:rPr>
        <w:t>Интернет-платежей</w:t>
      </w:r>
      <w:proofErr w:type="gramEnd"/>
      <w:r w:rsidRPr="008241CC">
        <w:rPr>
          <w:sz w:val="24"/>
          <w:szCs w:val="24"/>
        </w:rPr>
        <w:t xml:space="preserve"> пользуйтесь только проверенными службами.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>Если вас просят указать личные или финансовые данные по электронной почте в мгновенном сообщении или на веб-странице, НИКОГДА не делайте этого.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 xml:space="preserve">Соблюдайте осторожность, если вы выходите в Интернет с помощью сети, которую вы не знаете или которой не доверяете, например, бесплатное подключение </w:t>
      </w:r>
      <w:proofErr w:type="spellStart"/>
      <w:r w:rsidRPr="008241CC">
        <w:rPr>
          <w:sz w:val="24"/>
          <w:szCs w:val="24"/>
        </w:rPr>
        <w:t>Wi-Fi</w:t>
      </w:r>
      <w:proofErr w:type="spellEnd"/>
      <w:r w:rsidRPr="008241CC">
        <w:rPr>
          <w:sz w:val="24"/>
          <w:szCs w:val="24"/>
        </w:rPr>
        <w:t xml:space="preserve"> в кафе. Не включайте общий доступ и подключение к устройствам. Это поможет сделать ваш компьютер невидимым для других пользователей в сети, и вы будете в большей безопасности.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 xml:space="preserve">Совершайте покупки в </w:t>
      </w:r>
      <w:proofErr w:type="gramStart"/>
      <w:r w:rsidRPr="008241CC">
        <w:rPr>
          <w:sz w:val="24"/>
          <w:szCs w:val="24"/>
        </w:rPr>
        <w:t>надежных</w:t>
      </w:r>
      <w:proofErr w:type="gramEnd"/>
      <w:r w:rsidRPr="008241CC">
        <w:rPr>
          <w:sz w:val="24"/>
          <w:szCs w:val="24"/>
        </w:rPr>
        <w:t xml:space="preserve"> и проверенных онлайн-магазинах. Если вы никогда не слышали об этом магазине, прочитайте о нем отзывы перед тем, как совершить покупку.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 xml:space="preserve">Узнайте средний уровень цен и не попадайтесь на слишком </w:t>
      </w:r>
      <w:proofErr w:type="gramStart"/>
      <w:r w:rsidRPr="008241CC">
        <w:rPr>
          <w:sz w:val="24"/>
          <w:szCs w:val="24"/>
        </w:rPr>
        <w:t>низкие</w:t>
      </w:r>
      <w:proofErr w:type="gramEnd"/>
      <w:r w:rsidRPr="008241CC">
        <w:rPr>
          <w:sz w:val="24"/>
          <w:szCs w:val="24"/>
        </w:rPr>
        <w:t>. Помните, что при покупке онлайн к цене самого товара могут добавиться еще стоимость пересылки и налога (на иностранных сайтах), поэтому итоговая цена может довольно сильно отличаться от той, которую вы увидели изначально.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 xml:space="preserve">Убедитесь в том, что все ваши транзакции происходят на защищенных страницах: обычно это обозначается замочком в строке браузера. Чтобы не стать жертвой </w:t>
      </w:r>
      <w:proofErr w:type="spellStart"/>
      <w:r w:rsidRPr="008241CC">
        <w:rPr>
          <w:sz w:val="24"/>
          <w:szCs w:val="24"/>
        </w:rPr>
        <w:t>фишинга</w:t>
      </w:r>
      <w:proofErr w:type="spellEnd"/>
      <w:r w:rsidRPr="008241CC">
        <w:rPr>
          <w:sz w:val="24"/>
          <w:szCs w:val="24"/>
        </w:rPr>
        <w:t>, проверьте правильность написания сайта. Например, если вы видите alfabanc.ru вместо alfabank.ru, то, скорее всего, вы на поддельном сайте, и мошенники хотят узнать данные вашей банковской карты.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 xml:space="preserve">Если вы не уверены в </w:t>
      </w:r>
      <w:proofErr w:type="gramStart"/>
      <w:r w:rsidRPr="008241CC">
        <w:rPr>
          <w:sz w:val="24"/>
          <w:szCs w:val="24"/>
        </w:rPr>
        <w:t>каком-либо</w:t>
      </w:r>
      <w:proofErr w:type="gramEnd"/>
      <w:r w:rsidRPr="008241CC">
        <w:rPr>
          <w:sz w:val="24"/>
          <w:szCs w:val="24"/>
        </w:rPr>
        <w:t xml:space="preserve"> онлайн-магазине, то первую покупку лучше оплатить курьеру наличными. Сейчас быстро развивается способ оплаты заказов в </w:t>
      </w:r>
      <w:proofErr w:type="gramStart"/>
      <w:r w:rsidRPr="008241CC">
        <w:rPr>
          <w:sz w:val="24"/>
          <w:szCs w:val="24"/>
        </w:rPr>
        <w:t>Интернет-магазинах</w:t>
      </w:r>
      <w:proofErr w:type="gramEnd"/>
      <w:r w:rsidRPr="008241CC">
        <w:rPr>
          <w:sz w:val="24"/>
          <w:szCs w:val="24"/>
        </w:rPr>
        <w:t xml:space="preserve"> с помощью технологии выставления электронных счетов в Интернет-банк или мобильный банк (e- </w:t>
      </w:r>
      <w:proofErr w:type="spellStart"/>
      <w:r w:rsidRPr="008241CC">
        <w:rPr>
          <w:sz w:val="24"/>
          <w:szCs w:val="24"/>
        </w:rPr>
        <w:t>invoicing</w:t>
      </w:r>
      <w:proofErr w:type="spellEnd"/>
      <w:r w:rsidRPr="008241CC">
        <w:rPr>
          <w:sz w:val="24"/>
          <w:szCs w:val="24"/>
        </w:rPr>
        <w:t>). Это наиболее безопасный в настоящее время способ оплаты в Интернете. Если для оплаты вас попросили прислать отсканированную копию банковской карты, закройте все цифры кроме последних четырех на лицевой стороне и никогда не отправляйте оборотную сторону карты, где находится проверочный код.</w:t>
      </w:r>
    </w:p>
    <w:p w:rsidR="008241CC" w:rsidRPr="008241CC" w:rsidRDefault="008241CC" w:rsidP="008241CC">
      <w:pPr>
        <w:pStyle w:val="a8"/>
        <w:numPr>
          <w:ilvl w:val="0"/>
          <w:numId w:val="3"/>
        </w:numPr>
        <w:rPr>
          <w:sz w:val="24"/>
          <w:szCs w:val="24"/>
        </w:rPr>
      </w:pPr>
      <w:r w:rsidRPr="008241CC">
        <w:rPr>
          <w:sz w:val="24"/>
          <w:szCs w:val="24"/>
        </w:rPr>
        <w:t>Будьте осторожны не только на сайтах магазинов, но также и в социальных сетях. Преступники могут следить за тем, кто и куда уезжает на праздники, оставляя дом пустым.</w:t>
      </w:r>
    </w:p>
    <w:p w:rsidR="008241CC" w:rsidRPr="008241CC" w:rsidRDefault="008241CC" w:rsidP="008241CC">
      <w:pPr>
        <w:pStyle w:val="a8"/>
        <w:rPr>
          <w:sz w:val="24"/>
          <w:szCs w:val="24"/>
        </w:rPr>
      </w:pPr>
    </w:p>
    <w:p w:rsidR="008241CC" w:rsidRPr="008241CC" w:rsidRDefault="008241CC" w:rsidP="008241CC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Pr="008241CC">
        <w:rPr>
          <w:sz w:val="24"/>
          <w:szCs w:val="24"/>
        </w:rPr>
        <w:t xml:space="preserve">предоставлена Управлением </w:t>
      </w:r>
      <w:proofErr w:type="spellStart"/>
      <w:r w:rsidRPr="008241CC">
        <w:rPr>
          <w:sz w:val="24"/>
          <w:szCs w:val="24"/>
        </w:rPr>
        <w:t>Роскомнадзора</w:t>
      </w:r>
      <w:proofErr w:type="spellEnd"/>
      <w:r w:rsidRPr="008241CC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Тюменской области, </w:t>
      </w:r>
      <w:r w:rsidRPr="008241CC">
        <w:rPr>
          <w:sz w:val="24"/>
          <w:szCs w:val="24"/>
        </w:rPr>
        <w:t>Хант</w:t>
      </w:r>
      <w:proofErr w:type="gramStart"/>
      <w:r w:rsidRPr="008241CC">
        <w:rPr>
          <w:sz w:val="24"/>
          <w:szCs w:val="24"/>
        </w:rPr>
        <w:t>ы-</w:t>
      </w:r>
      <w:proofErr w:type="gramEnd"/>
      <w:r w:rsidRPr="008241CC">
        <w:rPr>
          <w:sz w:val="24"/>
          <w:szCs w:val="24"/>
        </w:rPr>
        <w:t xml:space="preserve"> Мансийскому автономному округу – Югре и Ямало-Ненецкому автономному округу</w:t>
      </w:r>
      <w:r>
        <w:rPr>
          <w:sz w:val="24"/>
          <w:szCs w:val="24"/>
        </w:rPr>
        <w:t>.</w:t>
      </w:r>
    </w:p>
    <w:p w:rsidR="0072537D" w:rsidRPr="008241CC" w:rsidRDefault="0072537D" w:rsidP="008241CC">
      <w:pPr>
        <w:pStyle w:val="a8"/>
        <w:rPr>
          <w:sz w:val="24"/>
          <w:szCs w:val="24"/>
        </w:rPr>
        <w:sectPr w:rsidR="0072537D" w:rsidRPr="008241CC">
          <w:pgSz w:w="11910" w:h="16840"/>
          <w:pgMar w:top="1040" w:right="540" w:bottom="280" w:left="1440" w:header="720" w:footer="720" w:gutter="0"/>
          <w:cols w:space="720"/>
        </w:sectPr>
      </w:pPr>
    </w:p>
    <w:p w:rsidR="0072537D" w:rsidRPr="008241CC" w:rsidRDefault="0072537D" w:rsidP="008241CC">
      <w:pPr>
        <w:pStyle w:val="a8"/>
        <w:rPr>
          <w:sz w:val="24"/>
          <w:szCs w:val="24"/>
        </w:rPr>
      </w:pPr>
    </w:p>
    <w:sectPr w:rsidR="0072537D" w:rsidRPr="008241CC">
      <w:pgSz w:w="11910" w:h="16840"/>
      <w:pgMar w:top="1580" w:right="5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649"/>
    <w:multiLevelType w:val="hybridMultilevel"/>
    <w:tmpl w:val="063A4864"/>
    <w:lvl w:ilvl="0" w:tplc="8A6846BC">
      <w:start w:val="1"/>
      <w:numFmt w:val="decimal"/>
      <w:lvlText w:val="%1."/>
      <w:lvlJc w:val="left"/>
      <w:pPr>
        <w:ind w:left="262" w:hanging="31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A89100">
      <w:numFmt w:val="bullet"/>
      <w:lvlText w:val="•"/>
      <w:lvlJc w:val="left"/>
      <w:pPr>
        <w:ind w:left="1226" w:hanging="317"/>
      </w:pPr>
      <w:rPr>
        <w:rFonts w:hint="default"/>
        <w:lang w:val="ru-RU" w:eastAsia="en-US" w:bidi="ar-SA"/>
      </w:rPr>
    </w:lvl>
    <w:lvl w:ilvl="2" w:tplc="189CA21A">
      <w:numFmt w:val="bullet"/>
      <w:lvlText w:val="•"/>
      <w:lvlJc w:val="left"/>
      <w:pPr>
        <w:ind w:left="2193" w:hanging="317"/>
      </w:pPr>
      <w:rPr>
        <w:rFonts w:hint="default"/>
        <w:lang w:val="ru-RU" w:eastAsia="en-US" w:bidi="ar-SA"/>
      </w:rPr>
    </w:lvl>
    <w:lvl w:ilvl="3" w:tplc="3A507CC4">
      <w:numFmt w:val="bullet"/>
      <w:lvlText w:val="•"/>
      <w:lvlJc w:val="left"/>
      <w:pPr>
        <w:ind w:left="3159" w:hanging="317"/>
      </w:pPr>
      <w:rPr>
        <w:rFonts w:hint="default"/>
        <w:lang w:val="ru-RU" w:eastAsia="en-US" w:bidi="ar-SA"/>
      </w:rPr>
    </w:lvl>
    <w:lvl w:ilvl="4" w:tplc="0CCE7D48">
      <w:numFmt w:val="bullet"/>
      <w:lvlText w:val="•"/>
      <w:lvlJc w:val="left"/>
      <w:pPr>
        <w:ind w:left="4126" w:hanging="317"/>
      </w:pPr>
      <w:rPr>
        <w:rFonts w:hint="default"/>
        <w:lang w:val="ru-RU" w:eastAsia="en-US" w:bidi="ar-SA"/>
      </w:rPr>
    </w:lvl>
    <w:lvl w:ilvl="5" w:tplc="9A52C352">
      <w:numFmt w:val="bullet"/>
      <w:lvlText w:val="•"/>
      <w:lvlJc w:val="left"/>
      <w:pPr>
        <w:ind w:left="5093" w:hanging="317"/>
      </w:pPr>
      <w:rPr>
        <w:rFonts w:hint="default"/>
        <w:lang w:val="ru-RU" w:eastAsia="en-US" w:bidi="ar-SA"/>
      </w:rPr>
    </w:lvl>
    <w:lvl w:ilvl="6" w:tplc="B91E21EC">
      <w:numFmt w:val="bullet"/>
      <w:lvlText w:val="•"/>
      <w:lvlJc w:val="left"/>
      <w:pPr>
        <w:ind w:left="6059" w:hanging="317"/>
      </w:pPr>
      <w:rPr>
        <w:rFonts w:hint="default"/>
        <w:lang w:val="ru-RU" w:eastAsia="en-US" w:bidi="ar-SA"/>
      </w:rPr>
    </w:lvl>
    <w:lvl w:ilvl="7" w:tplc="D714C226">
      <w:numFmt w:val="bullet"/>
      <w:lvlText w:val="•"/>
      <w:lvlJc w:val="left"/>
      <w:pPr>
        <w:ind w:left="7026" w:hanging="317"/>
      </w:pPr>
      <w:rPr>
        <w:rFonts w:hint="default"/>
        <w:lang w:val="ru-RU" w:eastAsia="en-US" w:bidi="ar-SA"/>
      </w:rPr>
    </w:lvl>
    <w:lvl w:ilvl="8" w:tplc="A55C6952">
      <w:numFmt w:val="bullet"/>
      <w:lvlText w:val="•"/>
      <w:lvlJc w:val="left"/>
      <w:pPr>
        <w:ind w:left="7993" w:hanging="317"/>
      </w:pPr>
      <w:rPr>
        <w:rFonts w:hint="default"/>
        <w:lang w:val="ru-RU" w:eastAsia="en-US" w:bidi="ar-SA"/>
      </w:rPr>
    </w:lvl>
  </w:abstractNum>
  <w:abstractNum w:abstractNumId="1">
    <w:nsid w:val="49852653"/>
    <w:multiLevelType w:val="hybridMultilevel"/>
    <w:tmpl w:val="0A688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44FA2"/>
    <w:multiLevelType w:val="hybridMultilevel"/>
    <w:tmpl w:val="84145606"/>
    <w:lvl w:ilvl="0" w:tplc="75B2AD2C">
      <w:numFmt w:val="bullet"/>
      <w:lvlText w:val=""/>
      <w:lvlJc w:val="left"/>
      <w:pPr>
        <w:ind w:left="26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5E88B18">
      <w:numFmt w:val="bullet"/>
      <w:lvlText w:val="•"/>
      <w:lvlJc w:val="left"/>
      <w:pPr>
        <w:ind w:left="1226" w:hanging="286"/>
      </w:pPr>
      <w:rPr>
        <w:rFonts w:hint="default"/>
        <w:lang w:val="ru-RU" w:eastAsia="en-US" w:bidi="ar-SA"/>
      </w:rPr>
    </w:lvl>
    <w:lvl w:ilvl="2" w:tplc="8F844E64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A4B40772">
      <w:numFmt w:val="bullet"/>
      <w:lvlText w:val="•"/>
      <w:lvlJc w:val="left"/>
      <w:pPr>
        <w:ind w:left="3159" w:hanging="286"/>
      </w:pPr>
      <w:rPr>
        <w:rFonts w:hint="default"/>
        <w:lang w:val="ru-RU" w:eastAsia="en-US" w:bidi="ar-SA"/>
      </w:rPr>
    </w:lvl>
    <w:lvl w:ilvl="4" w:tplc="E6668D84">
      <w:numFmt w:val="bullet"/>
      <w:lvlText w:val="•"/>
      <w:lvlJc w:val="left"/>
      <w:pPr>
        <w:ind w:left="4126" w:hanging="286"/>
      </w:pPr>
      <w:rPr>
        <w:rFonts w:hint="default"/>
        <w:lang w:val="ru-RU" w:eastAsia="en-US" w:bidi="ar-SA"/>
      </w:rPr>
    </w:lvl>
    <w:lvl w:ilvl="5" w:tplc="85D47B1E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CB28599E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7" w:tplc="873EDDFC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8BC8DF9E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537D"/>
    <w:rsid w:val="0072537D"/>
    <w:rsid w:val="008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1"/>
      <w:ind w:left="1463" w:right="15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2" w:right="3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0"/>
    </w:pPr>
  </w:style>
  <w:style w:type="paragraph" w:styleId="a6">
    <w:name w:val="Balloon Text"/>
    <w:basedOn w:val="a"/>
    <w:link w:val="a7"/>
    <w:uiPriority w:val="99"/>
    <w:semiHidden/>
    <w:unhideWhenUsed/>
    <w:rsid w:val="00824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1C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241C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1"/>
      <w:ind w:left="1463" w:right="15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2" w:right="3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0"/>
    </w:pPr>
  </w:style>
  <w:style w:type="paragraph" w:styleId="a6">
    <w:name w:val="Balloon Text"/>
    <w:basedOn w:val="a"/>
    <w:link w:val="a7"/>
    <w:uiPriority w:val="99"/>
    <w:semiHidden/>
    <w:unhideWhenUsed/>
    <w:rsid w:val="00824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1C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241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Константин Пшеничный</cp:lastModifiedBy>
  <cp:revision>2</cp:revision>
  <dcterms:created xsi:type="dcterms:W3CDTF">2021-03-02T06:03:00Z</dcterms:created>
  <dcterms:modified xsi:type="dcterms:W3CDTF">2021-03-02T06:09:00Z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